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Kritéria pro stanovení pořadí přijetí dětí do mateřských škol</w:t>
      </w:r>
    </w:p>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1.    Trvalý pobyt dítěte</w:t>
      </w:r>
    </w:p>
    <w:p w:rsidR="008D699B" w:rsidRPr="008D699B" w:rsidRDefault="008D699B" w:rsidP="008D699B">
      <w:pPr>
        <w:numPr>
          <w:ilvl w:val="0"/>
          <w:numId w:val="1"/>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a) místo trvalého pobytu dítěte ve spádovém obvodu </w:t>
      </w:r>
      <w:r w:rsidRPr="008D699B">
        <w:rPr>
          <w:rFonts w:ascii="Open Sans" w:eastAsia="Times New Roman" w:hAnsi="Open Sans" w:cs="Times New Roman"/>
          <w:color w:val="000000"/>
          <w:sz w:val="17"/>
          <w:szCs w:val="17"/>
          <w:vertAlign w:val="superscript"/>
          <w:lang w:eastAsia="cs-CZ"/>
        </w:rPr>
        <w:t>1)</w:t>
      </w:r>
      <w:r w:rsidRPr="008D699B">
        <w:rPr>
          <w:rFonts w:ascii="Open Sans" w:eastAsia="Times New Roman" w:hAnsi="Open Sans" w:cs="Times New Roman"/>
          <w:color w:val="000000"/>
          <w:sz w:val="23"/>
          <w:szCs w:val="23"/>
          <w:lang w:eastAsia="cs-CZ"/>
        </w:rPr>
        <w:t> MŠ:</w:t>
      </w:r>
      <w:r w:rsidRPr="008D699B">
        <w:rPr>
          <w:rFonts w:ascii="Open Sans" w:eastAsia="Times New Roman" w:hAnsi="Open Sans" w:cs="Times New Roman"/>
          <w:b/>
          <w:bCs/>
          <w:color w:val="000000"/>
          <w:sz w:val="23"/>
          <w:szCs w:val="23"/>
          <w:lang w:eastAsia="cs-CZ"/>
        </w:rPr>
        <w:t>300 bodů</w:t>
      </w:r>
    </w:p>
    <w:p w:rsidR="008D699B" w:rsidRPr="008D699B" w:rsidRDefault="008D699B" w:rsidP="008D699B">
      <w:pPr>
        <w:numPr>
          <w:ilvl w:val="0"/>
          <w:numId w:val="1"/>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b) místo trvalého pobytu dítěte ve městě Třebíč (nebo místní části) mimo spádový obvod MŠ:</w:t>
      </w:r>
      <w:r w:rsidRPr="008D699B">
        <w:rPr>
          <w:rFonts w:ascii="Open Sans" w:eastAsia="Times New Roman" w:hAnsi="Open Sans" w:cs="Times New Roman"/>
          <w:b/>
          <w:bCs/>
          <w:color w:val="000000"/>
          <w:sz w:val="23"/>
          <w:szCs w:val="23"/>
          <w:lang w:eastAsia="cs-CZ"/>
        </w:rPr>
        <w:t>150 bodů</w:t>
      </w:r>
    </w:p>
    <w:p w:rsidR="008D699B" w:rsidRPr="008D699B" w:rsidRDefault="008D699B" w:rsidP="008D699B">
      <w:pPr>
        <w:numPr>
          <w:ilvl w:val="0"/>
          <w:numId w:val="1"/>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c) místo trvalého pobytu dítěte mimo město Třebíč (nebo místní část):</w:t>
      </w:r>
      <w:r w:rsidRPr="008D699B">
        <w:rPr>
          <w:rFonts w:ascii="Open Sans" w:eastAsia="Times New Roman" w:hAnsi="Open Sans" w:cs="Times New Roman"/>
          <w:b/>
          <w:bCs/>
          <w:color w:val="000000"/>
          <w:sz w:val="23"/>
          <w:szCs w:val="23"/>
          <w:lang w:eastAsia="cs-CZ"/>
        </w:rPr>
        <w:t>0 bodů</w:t>
      </w:r>
    </w:p>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2.    Věková skupina</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a) šestiletí a starší s odkladem školní docházky:</w:t>
      </w:r>
      <w:r w:rsidRPr="008D699B">
        <w:rPr>
          <w:rFonts w:ascii="Open Sans" w:eastAsia="Times New Roman" w:hAnsi="Open Sans" w:cs="Times New Roman"/>
          <w:b/>
          <w:bCs/>
          <w:color w:val="000000"/>
          <w:sz w:val="23"/>
          <w:szCs w:val="23"/>
          <w:lang w:eastAsia="cs-CZ"/>
        </w:rPr>
        <w:t>100 bodů</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b) pětiletí předškoláci:</w:t>
      </w:r>
      <w:r w:rsidRPr="008D699B">
        <w:rPr>
          <w:rFonts w:ascii="Open Sans" w:eastAsia="Times New Roman" w:hAnsi="Open Sans" w:cs="Times New Roman"/>
          <w:b/>
          <w:bCs/>
          <w:color w:val="000000"/>
          <w:sz w:val="23"/>
          <w:szCs w:val="23"/>
          <w:lang w:eastAsia="cs-CZ"/>
        </w:rPr>
        <w:t>80 bodů</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c) čtyřletí:</w:t>
      </w:r>
      <w:r w:rsidRPr="008D699B">
        <w:rPr>
          <w:rFonts w:ascii="Open Sans" w:eastAsia="Times New Roman" w:hAnsi="Open Sans" w:cs="Times New Roman"/>
          <w:b/>
          <w:bCs/>
          <w:color w:val="000000"/>
          <w:sz w:val="23"/>
          <w:szCs w:val="23"/>
          <w:lang w:eastAsia="cs-CZ"/>
        </w:rPr>
        <w:t>60 bodů</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d) tříletí:</w:t>
      </w:r>
      <w:r w:rsidRPr="008D699B">
        <w:rPr>
          <w:rFonts w:ascii="Open Sans" w:eastAsia="Times New Roman" w:hAnsi="Open Sans" w:cs="Times New Roman"/>
          <w:b/>
          <w:bCs/>
          <w:color w:val="000000"/>
          <w:sz w:val="23"/>
          <w:szCs w:val="23"/>
          <w:lang w:eastAsia="cs-CZ"/>
        </w:rPr>
        <w:t>40 bodů</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e) dvouletí, kteří dosáhnou věku 3 let od 01.09.2024 do 31.12.2024:</w:t>
      </w:r>
      <w:r w:rsidRPr="008D699B">
        <w:rPr>
          <w:rFonts w:ascii="Open Sans" w:eastAsia="Times New Roman" w:hAnsi="Open Sans" w:cs="Times New Roman"/>
          <w:b/>
          <w:bCs/>
          <w:color w:val="000000"/>
          <w:sz w:val="23"/>
          <w:szCs w:val="23"/>
          <w:lang w:eastAsia="cs-CZ"/>
        </w:rPr>
        <w:t>20 bodů</w:t>
      </w:r>
    </w:p>
    <w:p w:rsidR="008D699B" w:rsidRPr="008D699B" w:rsidRDefault="008D699B" w:rsidP="008D699B">
      <w:pPr>
        <w:numPr>
          <w:ilvl w:val="0"/>
          <w:numId w:val="2"/>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f) ostatní dvouletí:</w:t>
      </w:r>
      <w:r w:rsidRPr="008D699B">
        <w:rPr>
          <w:rFonts w:ascii="Open Sans" w:eastAsia="Times New Roman" w:hAnsi="Open Sans" w:cs="Times New Roman"/>
          <w:b/>
          <w:bCs/>
          <w:color w:val="000000"/>
          <w:sz w:val="23"/>
          <w:szCs w:val="23"/>
          <w:lang w:eastAsia="cs-CZ"/>
        </w:rPr>
        <w:t>0 bodů</w:t>
      </w:r>
    </w:p>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3.    </w:t>
      </w:r>
      <w:proofErr w:type="gramStart"/>
      <w:r w:rsidRPr="008D699B">
        <w:rPr>
          <w:rFonts w:ascii="Open Sans" w:eastAsia="Times New Roman" w:hAnsi="Open Sans" w:cs="Times New Roman"/>
          <w:b/>
          <w:bCs/>
          <w:color w:val="000000"/>
          <w:sz w:val="23"/>
          <w:szCs w:val="23"/>
          <w:lang w:eastAsia="cs-CZ"/>
        </w:rPr>
        <w:t>Sourozenec </w:t>
      </w:r>
      <w:r w:rsidRPr="008D699B">
        <w:rPr>
          <w:rFonts w:ascii="Open Sans" w:eastAsia="Times New Roman" w:hAnsi="Open Sans" w:cs="Times New Roman"/>
          <w:color w:val="000000"/>
          <w:sz w:val="23"/>
          <w:szCs w:val="23"/>
          <w:lang w:eastAsia="cs-CZ"/>
        </w:rPr>
        <w:t>- kritérium</w:t>
      </w:r>
      <w:proofErr w:type="gramEnd"/>
      <w:r w:rsidRPr="008D699B">
        <w:rPr>
          <w:rFonts w:ascii="Open Sans" w:eastAsia="Times New Roman" w:hAnsi="Open Sans" w:cs="Times New Roman"/>
          <w:color w:val="000000"/>
          <w:sz w:val="23"/>
          <w:szCs w:val="23"/>
          <w:lang w:eastAsia="cs-CZ"/>
        </w:rPr>
        <w:t xml:space="preserve"> se uplatní pouze pro děti, které do 31.08.2024 dosáhnou nejméně třetího roku věku</w:t>
      </w:r>
      <w:r w:rsidRPr="008D699B">
        <w:rPr>
          <w:rFonts w:ascii="Open Sans" w:eastAsia="Times New Roman" w:hAnsi="Open Sans" w:cs="Times New Roman"/>
          <w:color w:val="000000"/>
          <w:sz w:val="17"/>
          <w:szCs w:val="17"/>
          <w:vertAlign w:val="superscript"/>
          <w:lang w:eastAsia="cs-CZ"/>
        </w:rPr>
        <w:t>2)</w:t>
      </w:r>
    </w:p>
    <w:p w:rsidR="008D699B" w:rsidRPr="008D699B" w:rsidRDefault="008D699B" w:rsidP="008D699B">
      <w:pPr>
        <w:numPr>
          <w:ilvl w:val="0"/>
          <w:numId w:val="3"/>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a) již navštěvuje MŠ, kam podáváte žádost (bude ji navštěvovat i po 01.09.2024):</w:t>
      </w:r>
      <w:r w:rsidRPr="008D699B">
        <w:rPr>
          <w:rFonts w:ascii="Open Sans" w:eastAsia="Times New Roman" w:hAnsi="Open Sans" w:cs="Times New Roman"/>
          <w:b/>
          <w:bCs/>
          <w:color w:val="000000"/>
          <w:sz w:val="23"/>
          <w:szCs w:val="23"/>
          <w:lang w:eastAsia="cs-CZ"/>
        </w:rPr>
        <w:t>10 bodů</w:t>
      </w:r>
    </w:p>
    <w:p w:rsidR="008D699B" w:rsidRPr="008D699B" w:rsidRDefault="008D699B" w:rsidP="008D699B">
      <w:pPr>
        <w:numPr>
          <w:ilvl w:val="0"/>
          <w:numId w:val="3"/>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b) nenavštěvuje mateřskou školu, kam podáváte žádost:</w:t>
      </w:r>
      <w:r w:rsidRPr="008D699B">
        <w:rPr>
          <w:rFonts w:ascii="Open Sans" w:eastAsia="Times New Roman" w:hAnsi="Open Sans" w:cs="Times New Roman"/>
          <w:b/>
          <w:bCs/>
          <w:color w:val="000000"/>
          <w:sz w:val="23"/>
          <w:szCs w:val="23"/>
          <w:lang w:eastAsia="cs-CZ"/>
        </w:rPr>
        <w:t>0 bodů</w:t>
      </w:r>
    </w:p>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4.    Den věku dítěte v roce narození</w:t>
      </w:r>
    </w:p>
    <w:p w:rsidR="008D699B" w:rsidRPr="008D699B" w:rsidRDefault="008D699B" w:rsidP="008D699B">
      <w:pPr>
        <w:numPr>
          <w:ilvl w:val="0"/>
          <w:numId w:val="4"/>
        </w:num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color w:val="000000"/>
          <w:sz w:val="23"/>
          <w:szCs w:val="23"/>
          <w:lang w:eastAsia="cs-CZ"/>
        </w:rPr>
        <w:t>a) za každý den věku dítěte dosažený k 31.08:</w:t>
      </w:r>
      <w:r w:rsidRPr="008D699B">
        <w:rPr>
          <w:rFonts w:ascii="Open Sans" w:eastAsia="Times New Roman" w:hAnsi="Open Sans" w:cs="Times New Roman"/>
          <w:b/>
          <w:bCs/>
          <w:color w:val="000000"/>
          <w:sz w:val="23"/>
          <w:szCs w:val="23"/>
          <w:lang w:eastAsia="cs-CZ"/>
        </w:rPr>
        <w:t>0.02 bodů</w:t>
      </w:r>
    </w:p>
    <w:p w:rsidR="008D699B" w:rsidRPr="008D699B" w:rsidRDefault="008D699B" w:rsidP="008D699B">
      <w:pPr>
        <w:spacing w:after="0" w:line="240" w:lineRule="auto"/>
        <w:rPr>
          <w:rFonts w:ascii="Open Sans" w:eastAsia="Times New Roman" w:hAnsi="Open Sans" w:cs="Times New Roman"/>
          <w:color w:val="000000"/>
          <w:sz w:val="23"/>
          <w:szCs w:val="23"/>
          <w:lang w:eastAsia="cs-CZ"/>
        </w:rPr>
      </w:pPr>
      <w:proofErr w:type="spellStart"/>
      <w:r w:rsidRPr="008D699B">
        <w:rPr>
          <w:rFonts w:ascii="Open Sans" w:eastAsia="Times New Roman" w:hAnsi="Open Sans" w:cs="Times New Roman"/>
          <w:color w:val="000000"/>
          <w:sz w:val="23"/>
          <w:szCs w:val="23"/>
          <w:lang w:eastAsia="cs-CZ"/>
        </w:rPr>
        <w:t>Pozn</w:t>
      </w:r>
      <w:proofErr w:type="spellEnd"/>
      <w:r w:rsidRPr="008D699B">
        <w:rPr>
          <w:rFonts w:ascii="Open Sans" w:eastAsia="Times New Roman" w:hAnsi="Open Sans" w:cs="Times New Roman"/>
          <w:color w:val="000000"/>
          <w:sz w:val="23"/>
          <w:szCs w:val="23"/>
          <w:lang w:eastAsia="cs-CZ"/>
        </w:rPr>
        <w:t>: 1</w:t>
      </w:r>
      <w:proofErr w:type="gramStart"/>
      <w:r w:rsidRPr="008D699B">
        <w:rPr>
          <w:rFonts w:ascii="Open Sans" w:eastAsia="Times New Roman" w:hAnsi="Open Sans" w:cs="Times New Roman"/>
          <w:color w:val="000000"/>
          <w:sz w:val="23"/>
          <w:szCs w:val="23"/>
          <w:lang w:eastAsia="cs-CZ"/>
        </w:rPr>
        <w:t>)  dle</w:t>
      </w:r>
      <w:proofErr w:type="gramEnd"/>
      <w:r w:rsidRPr="008D699B">
        <w:rPr>
          <w:rFonts w:ascii="Open Sans" w:eastAsia="Times New Roman" w:hAnsi="Open Sans" w:cs="Times New Roman"/>
          <w:color w:val="000000"/>
          <w:sz w:val="23"/>
          <w:szCs w:val="23"/>
          <w:lang w:eastAsia="cs-CZ"/>
        </w:rPr>
        <w:t xml:space="preserve"> obecně závazné vyhlášky č. 4/2019 o školských obvodech spádových mateřských škol, jejichž zřizovatelem je město Třebíč.</w:t>
      </w:r>
      <w:r w:rsidRPr="008D699B">
        <w:rPr>
          <w:rFonts w:ascii="Open Sans" w:eastAsia="Times New Roman" w:hAnsi="Open Sans" w:cs="Times New Roman"/>
          <w:color w:val="000000"/>
          <w:sz w:val="23"/>
          <w:szCs w:val="23"/>
          <w:lang w:eastAsia="cs-CZ"/>
        </w:rPr>
        <w:br/>
        <w:t>Kritérium se uplatní pouze pro děti, které do 31.08.2024 dosáhnou nejméně třetího roku věku.</w:t>
      </w:r>
    </w:p>
    <w:p w:rsidR="008D699B" w:rsidRDefault="008D699B" w:rsidP="008D699B">
      <w:pPr>
        <w:spacing w:after="0" w:line="240" w:lineRule="auto"/>
        <w:rPr>
          <w:rFonts w:ascii="Open Sans" w:eastAsia="Times New Roman" w:hAnsi="Open Sans" w:cs="Times New Roman"/>
          <w:color w:val="000000"/>
          <w:sz w:val="23"/>
          <w:szCs w:val="23"/>
          <w:lang w:eastAsia="cs-CZ"/>
        </w:rPr>
      </w:pPr>
    </w:p>
    <w:p w:rsidR="008D699B" w:rsidRDefault="008D699B" w:rsidP="008D699B">
      <w:pPr>
        <w:spacing w:after="0" w:line="240" w:lineRule="auto"/>
        <w:rPr>
          <w:rFonts w:ascii="Open Sans" w:eastAsia="Times New Roman" w:hAnsi="Open Sans" w:cs="Times New Roman"/>
          <w:color w:val="000000"/>
          <w:sz w:val="23"/>
          <w:szCs w:val="23"/>
          <w:lang w:eastAsia="cs-CZ"/>
        </w:rPr>
      </w:pPr>
      <w:bookmarkStart w:id="0" w:name="_GoBack"/>
      <w:bookmarkEnd w:id="0"/>
      <w:proofErr w:type="spellStart"/>
      <w:r w:rsidRPr="008D699B">
        <w:rPr>
          <w:rFonts w:ascii="Open Sans" w:eastAsia="Times New Roman" w:hAnsi="Open Sans" w:cs="Times New Roman"/>
          <w:color w:val="000000"/>
          <w:sz w:val="23"/>
          <w:szCs w:val="23"/>
          <w:lang w:eastAsia="cs-CZ"/>
        </w:rPr>
        <w:t>Pozn</w:t>
      </w:r>
      <w:proofErr w:type="spellEnd"/>
      <w:r w:rsidRPr="008D699B">
        <w:rPr>
          <w:rFonts w:ascii="Open Sans" w:eastAsia="Times New Roman" w:hAnsi="Open Sans" w:cs="Times New Roman"/>
          <w:color w:val="000000"/>
          <w:sz w:val="23"/>
          <w:szCs w:val="23"/>
          <w:lang w:eastAsia="cs-CZ"/>
        </w:rPr>
        <w:t>: 2</w:t>
      </w:r>
      <w:proofErr w:type="gramStart"/>
      <w:r w:rsidRPr="008D699B">
        <w:rPr>
          <w:rFonts w:ascii="Open Sans" w:eastAsia="Times New Roman" w:hAnsi="Open Sans" w:cs="Times New Roman"/>
          <w:color w:val="000000"/>
          <w:sz w:val="23"/>
          <w:szCs w:val="23"/>
          <w:lang w:eastAsia="cs-CZ"/>
        </w:rPr>
        <w:t>)  dle</w:t>
      </w:r>
      <w:proofErr w:type="gramEnd"/>
      <w:r w:rsidRPr="008D699B">
        <w:rPr>
          <w:rFonts w:ascii="Open Sans" w:eastAsia="Times New Roman" w:hAnsi="Open Sans" w:cs="Times New Roman"/>
          <w:color w:val="000000"/>
          <w:sz w:val="23"/>
          <w:szCs w:val="23"/>
          <w:lang w:eastAsia="cs-CZ"/>
        </w:rPr>
        <w:t xml:space="preserve"> § 34 odst. 1 zákona č. 561/2004 Sb., o předškolním, základním, středním, vyšším odborném a jiném vzdělávání (školský zákon) nemá dítě mladší 3 let právní nárok na přijetí do mateřské školy.</w:t>
      </w:r>
    </w:p>
    <w:p w:rsidR="008D699B" w:rsidRPr="008D699B" w:rsidRDefault="008D699B" w:rsidP="008D699B">
      <w:pPr>
        <w:spacing w:after="0" w:line="240" w:lineRule="auto"/>
        <w:rPr>
          <w:rFonts w:ascii="Open Sans" w:eastAsia="Times New Roman" w:hAnsi="Open Sans" w:cs="Times New Roman"/>
          <w:color w:val="000000"/>
          <w:sz w:val="16"/>
          <w:szCs w:val="16"/>
          <w:lang w:eastAsia="cs-CZ"/>
        </w:rPr>
      </w:pPr>
    </w:p>
    <w:p w:rsidR="008D699B" w:rsidRPr="008D699B" w:rsidRDefault="008D699B" w:rsidP="008D699B">
      <w:pPr>
        <w:spacing w:before="100" w:beforeAutospacing="1" w:after="100" w:afterAutospacing="1" w:line="240" w:lineRule="auto"/>
        <w:rPr>
          <w:rFonts w:ascii="Open Sans" w:eastAsia="Times New Roman" w:hAnsi="Open Sans" w:cs="Times New Roman"/>
          <w:color w:val="000000"/>
          <w:sz w:val="23"/>
          <w:szCs w:val="23"/>
          <w:lang w:eastAsia="cs-CZ"/>
        </w:rPr>
      </w:pPr>
      <w:r w:rsidRPr="008D699B">
        <w:rPr>
          <w:rFonts w:ascii="Open Sans" w:eastAsia="Times New Roman" w:hAnsi="Open Sans" w:cs="Times New Roman"/>
          <w:b/>
          <w:bCs/>
          <w:color w:val="000000"/>
          <w:sz w:val="23"/>
          <w:szCs w:val="23"/>
          <w:lang w:eastAsia="cs-CZ"/>
        </w:rPr>
        <w:t>Vysvětlivky k pořadí přijímání dětí do MŠ ve městě Třebíč</w:t>
      </w:r>
    </w:p>
    <w:p w:rsidR="008D699B" w:rsidRPr="008D699B" w:rsidRDefault="008D699B" w:rsidP="008D699B">
      <w:pPr>
        <w:spacing w:before="100" w:beforeAutospacing="1" w:after="100" w:afterAutospacing="1" w:line="240" w:lineRule="auto"/>
        <w:jc w:val="both"/>
        <w:rPr>
          <w:rFonts w:ascii="Open Sans" w:eastAsia="Times New Roman" w:hAnsi="Open Sans" w:cs="Times New Roman"/>
          <w:color w:val="000000"/>
          <w:sz w:val="20"/>
          <w:szCs w:val="20"/>
          <w:lang w:eastAsia="cs-CZ"/>
        </w:rPr>
      </w:pPr>
      <w:r w:rsidRPr="008D699B">
        <w:rPr>
          <w:rFonts w:ascii="Open Sans" w:eastAsia="Times New Roman" w:hAnsi="Open Sans" w:cs="Times New Roman"/>
          <w:color w:val="000000"/>
          <w:sz w:val="20"/>
          <w:szCs w:val="20"/>
          <w:lang w:eastAsia="cs-CZ"/>
        </w:rPr>
        <w:t>Dětem s místem trvalého pobytu v příslušném spádovém obvodu MŠ, které k 31.08.2024 (včetně) dosáhnou nejméně třetího roku věku, budou body přiděleny tak, aby tyto spádové děti měly při přijímání vždy absolutní přednost před všemi ostatními dětmi. Následně budou těmto spádovým dětem přidělovány body tak, aby spádové děti od 5 let věku (s povinností předškolního vzdělávání) měly vždy přednost před spádovými čtyřletými a tříletými. Uchazeči se stejným počtem bodů budou seřazeni dle věku sestupně. U dětí, které se umístí na stejném pořadí (stejné datum narození) rozhoduje o pořadí dítěte losování.</w:t>
      </w:r>
    </w:p>
    <w:p w:rsidR="008D699B" w:rsidRPr="008D699B" w:rsidRDefault="008D699B" w:rsidP="008D699B">
      <w:pPr>
        <w:spacing w:before="100" w:beforeAutospacing="1" w:after="100" w:afterAutospacing="1" w:line="240" w:lineRule="auto"/>
        <w:jc w:val="both"/>
        <w:rPr>
          <w:rFonts w:ascii="Open Sans" w:eastAsia="Times New Roman" w:hAnsi="Open Sans" w:cs="Times New Roman"/>
          <w:color w:val="000000"/>
          <w:sz w:val="20"/>
          <w:szCs w:val="20"/>
          <w:lang w:eastAsia="cs-CZ"/>
        </w:rPr>
      </w:pPr>
      <w:r w:rsidRPr="008D699B">
        <w:rPr>
          <w:rFonts w:ascii="Open Sans" w:eastAsia="Times New Roman" w:hAnsi="Open Sans" w:cs="Times New Roman"/>
          <w:color w:val="000000"/>
          <w:sz w:val="20"/>
          <w:szCs w:val="20"/>
          <w:lang w:eastAsia="cs-CZ"/>
        </w:rPr>
        <w:t>Místem trvalého pobytu se podle zákona č. 133/2000 Sb., o evidenci obyvatel a rodných číslech a o změně některých zákonů (zákon o evidenci obyvatel), ve znění pozdějších předpisů, rozumí „</w:t>
      </w:r>
      <w:r w:rsidRPr="008D699B">
        <w:rPr>
          <w:rFonts w:ascii="Open Sans" w:eastAsia="Times New Roman" w:hAnsi="Open Sans" w:cs="Times New Roman"/>
          <w:i/>
          <w:iCs/>
          <w:color w:val="000000"/>
          <w:sz w:val="20"/>
          <w:szCs w:val="20"/>
          <w:lang w:eastAsia="cs-CZ"/>
        </w:rPr>
        <w:t xml:space="preserve">adresa pobytu občana v České republice, která je vedena v registru obyvatel ve formě referenční vazby (kódu adresního místa) na referenční údaj o adrese </w:t>
      </w:r>
      <w:r>
        <w:rPr>
          <w:rFonts w:ascii="Open Sans" w:eastAsia="Times New Roman" w:hAnsi="Open Sans" w:cs="Times New Roman"/>
          <w:i/>
          <w:iCs/>
          <w:color w:val="000000"/>
          <w:sz w:val="20"/>
          <w:szCs w:val="20"/>
          <w:lang w:eastAsia="cs-CZ"/>
        </w:rPr>
        <w:br/>
      </w:r>
      <w:r w:rsidRPr="008D699B">
        <w:rPr>
          <w:rFonts w:ascii="Open Sans" w:eastAsia="Times New Roman" w:hAnsi="Open Sans" w:cs="Times New Roman"/>
          <w:i/>
          <w:iCs/>
          <w:color w:val="000000"/>
          <w:sz w:val="20"/>
          <w:szCs w:val="20"/>
          <w:lang w:eastAsia="cs-CZ"/>
        </w:rPr>
        <w:t>v základním registru územní identifikace, adres a nemovitostí, kterou si občan zvolí zpravidla v místě, kde má rodinu, rodiče, byt nebo zaměstnání. Občan může mít jen jedno místo trvalého pobytu, a to v objektu, který je podle zvláštního právního předpisu označen číslem popisným nebo evidenčním, popřípadě orientačním číslem a který je určen pro bydlení, ubytování nebo individuální rekreaci“.</w:t>
      </w:r>
    </w:p>
    <w:p w:rsidR="008D699B" w:rsidRPr="008D699B" w:rsidRDefault="008D699B" w:rsidP="008D699B">
      <w:pPr>
        <w:spacing w:before="100" w:beforeAutospacing="1" w:after="100" w:afterAutospacing="1" w:line="240" w:lineRule="auto"/>
        <w:jc w:val="both"/>
        <w:rPr>
          <w:rFonts w:ascii="Open Sans" w:eastAsia="Times New Roman" w:hAnsi="Open Sans" w:cs="Times New Roman"/>
          <w:color w:val="000000"/>
          <w:sz w:val="20"/>
          <w:szCs w:val="20"/>
          <w:lang w:eastAsia="cs-CZ"/>
        </w:rPr>
      </w:pPr>
      <w:r w:rsidRPr="008D699B">
        <w:rPr>
          <w:rFonts w:ascii="Open Sans" w:eastAsia="Times New Roman" w:hAnsi="Open Sans" w:cs="Times New Roman"/>
          <w:color w:val="000000"/>
          <w:sz w:val="20"/>
          <w:szCs w:val="20"/>
          <w:lang w:eastAsia="cs-CZ"/>
        </w:rPr>
        <w:lastRenderedPageBreak/>
        <w:t>Trvalý pobyt ve městě Třebíč (nebo místní části)</w:t>
      </w:r>
      <w:r>
        <w:rPr>
          <w:rFonts w:ascii="Open Sans" w:eastAsia="Times New Roman" w:hAnsi="Open Sans" w:cs="Times New Roman"/>
          <w:color w:val="000000"/>
          <w:sz w:val="20"/>
          <w:szCs w:val="20"/>
          <w:lang w:eastAsia="cs-CZ"/>
        </w:rPr>
        <w:t xml:space="preserve"> </w:t>
      </w:r>
      <w:r w:rsidRPr="008D699B">
        <w:rPr>
          <w:rFonts w:ascii="Open Sans" w:eastAsia="Times New Roman" w:hAnsi="Open Sans" w:cs="Times New Roman"/>
          <w:color w:val="000000"/>
          <w:sz w:val="20"/>
          <w:szCs w:val="20"/>
          <w:lang w:eastAsia="cs-CZ"/>
        </w:rPr>
        <w:t>se prokazuje předložením občanského průkazu alespoň jednoho zákonného zástupce, ve kterém má uveden trvalý pobyt ve městě Třebíč (nebo v místní části) nebo potvrzením z ohlašovny trvalého pobytu.</w:t>
      </w:r>
    </w:p>
    <w:p w:rsidR="008D699B" w:rsidRPr="008D699B" w:rsidRDefault="008D699B" w:rsidP="008D699B">
      <w:pPr>
        <w:spacing w:before="100" w:beforeAutospacing="1" w:after="100" w:afterAutospacing="1" w:line="240" w:lineRule="auto"/>
        <w:jc w:val="both"/>
        <w:rPr>
          <w:rFonts w:ascii="Open Sans" w:eastAsia="Times New Roman" w:hAnsi="Open Sans" w:cs="Times New Roman"/>
          <w:color w:val="000000"/>
          <w:sz w:val="20"/>
          <w:szCs w:val="20"/>
          <w:lang w:eastAsia="cs-CZ"/>
        </w:rPr>
      </w:pPr>
      <w:r w:rsidRPr="008D699B">
        <w:rPr>
          <w:rFonts w:ascii="Open Sans" w:eastAsia="Times New Roman" w:hAnsi="Open Sans" w:cs="Times New Roman"/>
          <w:color w:val="000000"/>
          <w:sz w:val="20"/>
          <w:szCs w:val="20"/>
          <w:lang w:eastAsia="cs-CZ"/>
        </w:rPr>
        <w:t>Veškeré další tvrzené skutečnosti, které mají být vzaty v úvahu v rámci stanovení pořadí pro přijetí dítěte do mateřské školy, je třeba řediteli/ředitelce mateřské školy doložit tak, aby je mohl(a) mít za prokázané.</w:t>
      </w:r>
    </w:p>
    <w:p w:rsidR="008D699B" w:rsidRPr="008D699B" w:rsidRDefault="008D699B" w:rsidP="008D699B">
      <w:pPr>
        <w:spacing w:before="100" w:beforeAutospacing="1" w:after="100" w:afterAutospacing="1" w:line="240" w:lineRule="auto"/>
        <w:jc w:val="both"/>
        <w:rPr>
          <w:rFonts w:ascii="Open Sans" w:eastAsia="Times New Roman" w:hAnsi="Open Sans" w:cs="Times New Roman"/>
          <w:color w:val="000000"/>
          <w:sz w:val="20"/>
          <w:szCs w:val="20"/>
          <w:lang w:eastAsia="cs-CZ"/>
        </w:rPr>
      </w:pPr>
      <w:r w:rsidRPr="008D699B">
        <w:rPr>
          <w:rFonts w:ascii="Open Sans" w:eastAsia="Times New Roman" w:hAnsi="Open Sans" w:cs="Times New Roman"/>
          <w:color w:val="000000"/>
          <w:sz w:val="20"/>
          <w:szCs w:val="20"/>
          <w:lang w:eastAsia="cs-CZ"/>
        </w:rPr>
        <w:t xml:space="preserve">V individuálních případech hodných zvláštního zřetele může ředitel mateřské školy rozhodnout o přijetí dítěte k předškolnímu vzdělávání bez ohledu na celkový počet bodů, které dítě na základě jednotlivých kritérií získalo. </w:t>
      </w:r>
      <w:r>
        <w:rPr>
          <w:rFonts w:ascii="Open Sans" w:eastAsia="Times New Roman" w:hAnsi="Open Sans" w:cs="Times New Roman"/>
          <w:color w:val="000000"/>
          <w:sz w:val="20"/>
          <w:szCs w:val="20"/>
          <w:lang w:eastAsia="cs-CZ"/>
        </w:rPr>
        <w:br/>
      </w:r>
      <w:r w:rsidRPr="008D699B">
        <w:rPr>
          <w:rFonts w:ascii="Open Sans" w:eastAsia="Times New Roman" w:hAnsi="Open Sans" w:cs="Times New Roman"/>
          <w:color w:val="000000"/>
          <w:sz w:val="20"/>
          <w:szCs w:val="20"/>
          <w:lang w:eastAsia="cs-CZ"/>
        </w:rPr>
        <w:t>Za případy hodné zvláštního zřetele lze považovat prokazatelně dokladovanou tíživou sociální situaci.</w:t>
      </w:r>
    </w:p>
    <w:p w:rsidR="007A3ACC" w:rsidRDefault="007A3ACC" w:rsidP="008D699B"/>
    <w:sectPr w:rsidR="007A3ACC" w:rsidSect="008D699B">
      <w:pgSz w:w="11906" w:h="16838"/>
      <w:pgMar w:top="709" w:right="70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63245"/>
    <w:multiLevelType w:val="multilevel"/>
    <w:tmpl w:val="9EB2C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505532"/>
    <w:multiLevelType w:val="multilevel"/>
    <w:tmpl w:val="5AFA7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27683"/>
    <w:multiLevelType w:val="multilevel"/>
    <w:tmpl w:val="C8643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925D64"/>
    <w:multiLevelType w:val="multilevel"/>
    <w:tmpl w:val="32A8B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99B"/>
    <w:rsid w:val="007A3ACC"/>
    <w:rsid w:val="008D69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96E5"/>
  <w15:chartTrackingRefBased/>
  <w15:docId w15:val="{E126846C-4397-45D3-9E2D-A9086ED3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8D69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8D69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3975779">
      <w:bodyDiv w:val="1"/>
      <w:marLeft w:val="0"/>
      <w:marRight w:val="0"/>
      <w:marTop w:val="0"/>
      <w:marBottom w:val="0"/>
      <w:divBdr>
        <w:top w:val="none" w:sz="0" w:space="0" w:color="auto"/>
        <w:left w:val="none" w:sz="0" w:space="0" w:color="auto"/>
        <w:bottom w:val="none" w:sz="0" w:space="0" w:color="auto"/>
        <w:right w:val="none" w:sz="0" w:space="0" w:color="auto"/>
      </w:divBdr>
      <w:divsChild>
        <w:div w:id="625821011">
          <w:marLeft w:val="0"/>
          <w:marRight w:val="0"/>
          <w:marTop w:val="0"/>
          <w:marBottom w:val="0"/>
          <w:divBdr>
            <w:top w:val="none" w:sz="0" w:space="0" w:color="auto"/>
            <w:left w:val="none" w:sz="0" w:space="0" w:color="auto"/>
            <w:bottom w:val="none" w:sz="0" w:space="0" w:color="auto"/>
            <w:right w:val="none" w:sz="0" w:space="0" w:color="auto"/>
          </w:divBdr>
        </w:div>
        <w:div w:id="5471852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514</Words>
  <Characters>3038</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DUHA I</dc:creator>
  <cp:keywords/>
  <dc:description/>
  <cp:lastModifiedBy>MŠ DUHA I</cp:lastModifiedBy>
  <cp:revision>1</cp:revision>
  <dcterms:created xsi:type="dcterms:W3CDTF">2024-03-20T17:33:00Z</dcterms:created>
  <dcterms:modified xsi:type="dcterms:W3CDTF">2024-03-20T17:40:00Z</dcterms:modified>
</cp:coreProperties>
</file>